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266</w:t>
      </w:r>
    </w:p>
    <w:p>
      <w:r>
        <w:t>Bundesgericht (BGE), 1978-11-30, DE</w:t>
      </w:r>
    </w:p>
    <w:p>
      <w:r>
        <w:rPr>
          <w:b/>
        </w:rPr>
        <w:t xml:space="preserve">Quelle: </w:t>
      </w:r>
      <w:r>
        <w:t>https://mcp.opencaselaw.ch/entscheid/bge_104 IV 266</w:t>
      </w:r>
    </w:p>
    <w:p>
      <w:r>
        <w:t>FR: ATF 104 IV 266</w:t>
      </w:r>
    </w:p>
    <w:p>
      <w:r>
        <w:t>IT: DTF 104 IV 266</w:t>
      </w:r>
    </w:p>
    <w:p>
      <w:pPr>
        <w:pStyle w:val="Heading2"/>
      </w:pPr>
      <w:r>
        <w:t>Regeste</w:t>
      </w:r>
    </w:p>
    <w:p>
      <w:r>
        <w:t>Regeste Art. 11 VStrR. Verjährung im Verwaltungsstrafrecht. Soweit Art. 11 VStrR oder das einzelne Verwaltungsgesetz keine Sondernormen über die Verjährung aufstellt, bleiben die Verjährungsbestimmungen des StGB anwendbar (E. 2). Die neue Verjährungsordnung gilt auch für Taten, die vor dem Inkrafttreten des VStrR verübt worden sind (E. 1).</w:t>
      </w:r>
    </w:p>
    <w:p>
      <w:pPr>
        <w:pStyle w:val="Heading2"/>
      </w:pPr>
      <w:r>
        <w:t>Erwägungen</w:t>
      </w:r>
    </w:p>
    <w:p>
      <w:r>
        <w:rPr>
          <w:b/>
        </w:rPr>
        <w:t>E. 1</w:t>
      </w:r>
    </w:p>
    <w:p>
      <w:r>
        <w:t>Die Strafverfügung der Eidgenössischen Steuerverwaltung ist im Jahre 1972 ergangen, also vor dem Inkrafttreten des Bundesgesetzes über das Verwaltungsstrafrecht. Unter der Herrschaft des alten Rechts waren die Strafen für Übertretungen fiskalischer Bundesgesetze unverjährbar ( BGE 83 IV 176 ), wogegen sie nun nach Art. 11 VStrR in Übereinstimmung mit dem Strafgesetzbuch der absoluten Verjährung unterliegen. Das neue Recht ist somit das mildere im Sinne des Art. 2 Abs. 2 StGB . Die Übergangsbestimmungen des Art. 106 VStrR schliessen die Anwendung der neuen Verjährungsbestimmungen auf Taten, die vor dem Inkrafttreten des VStrR verübt wurden, nicht aus, auch Abs. 1 nicht, dessen Vorbehalt nur für das Verfahrensrecht gilt. Die Frage der Verjährung war daher zu prüfen.</w:t>
      </w:r>
    </w:p>
    <w:p>
      <w:r>
        <w:rPr>
          <w:b/>
        </w:rPr>
        <w:t>E. 2</w:t>
      </w:r>
    </w:p>
    <w:p>
      <w:r>
        <w:t>Gemäss Art. 2 VStrR gelten die allgemeinen Bestimmungen des Strafgesetzbuches auch für strafbare Handlungen der Verwaltungsgesetzgebung, soweit das VStrR oder das einzelne Verwaltungsgesetz nichts anderes bestimmt. Der BRB über die Warenumsatzsteuer enthält keine eigenen Verjährungsbestimmungen, sondern erklärt in Art. 41 Abs. 1 die Vorschriften des VStrR für anwendbar. Das VStrR stellt in Art. 11 Sonderbestimmungen über die Verfolgungs- und Vollstreckungsverjährung auf. Hinsichtlich der letztern schreibt Absatz 4 vor, die Strafe einer Übertretung verjähre in fünf Jahren. Damit wird die in Art. 109 StGB vorgesehene Verjährungsfrist von zwei auf fünf Jahre erhöht. Dass es sich um eine absolute Frist handle, wird nicht gesagt. Das VStrR kennt auch keine weiteren Bestimmungen über die Vollstreckungsverjährung. Namentlich sind ihm keine dem StGB entsprechenden Regeln über den Beginn, das Ruhen und die Unterbrechung der fünfjährigen Frist zu entnehmen, und es fehlt auch eine Bestimmung über die Vollstreckungsverjährung bei Vergehen. Von einer abschliessenden Sonderordnung kann also keine Rede sein. Art. 11 Abs. 4 VStrR bedarf daher notwendig der BGE 104 IV 266 S. 268 Ergänzung. Zu diesem Zweck bestimmt Art. 2 VStrR , dass die allgemeinen Bestimmungen des StGB Anwendung finden, soweit das VStrR oder das einzelne Verwaltungsgesetz keine abweichenden Regeln aufstellt. Insoweit das VStrR schweigt, behalten demzufolge die Verjährungsbestimmungen des StGB ihre Gültigkeit und sind subsidiär anzuwenden (Botschaft vom 21. April 1971 in BBl 1971 I 1007 zu Art. 10 des Entwurfes; Sten Bull SR 81, S. 842, Votum Munz; PETER, ZStR 93, S. 360). Da Art. 11 Abs. 4 VStrR einzig die Verjährungsfrist abweichend vom StGB regelt, bleiben alle andern Bestimmungen des StGB über die Vollstreckungsverjährung, insbesondere jene über den Beginn und die Unterbrechung (Art. 74 und 75 Ziff. 2), anwendbar. Die fünfjährige Frist des Art. 11 Abs. 4 VStrR ist daher als ordentliche, nicht als absolute Verjährungsfrist zu verstehen. Die gegenteilige Ansicht der Vorinstanz liefe der Verjährungsordnung des StGB zuwider, und es wäre zudem widersprüchlich, die Unterbrechung der ordentlichen Verjährungsfrist bei der Verfolgungsverjährung gelten zu lassen ( Art. 11 Abs. 2 VStrR ), bei der Vollstreckungsverjährung dagegen nicht. Wenn die absolute Verjährung lediglich in Art. 11 Abs. 2 VStrR erwähnt und dort ausdrücklich auf 7 1/2 Jahre begrenzt wird, so liegt der Grund einzig darin, dass die in diesem Absatz genannten Widerhandlungen als Übertretung und Vergehen verübt werden können und Art. 72 Ziff. 2 Abs. 2 StGB die absolute Verfolgungsverjährung für beide Deliktsarten verschieden regelt. Bliebe diese Bestimmung anwendbar, so träte die unhaltbare Folge ein, dass die Strafverfolgung beim Abgabebetrug als Vergehen nach 7 1/2 Jahren, bei der Steuerhinterziehung als Übertretung aber erst nach 10 Jahren verjährt wäre. Im Gegensatz dazu bedurfte die absolute Vollstreckungsverjährung keiner besonderen Regelung, weil gemäss Art. 75 Ziff. 2 Abs. 2 StGB alle Strafen, auch Übertretungsstrafen, in jedem Fall verjährt sind, wenn die ordentliche Verjährungsfrist um die Hälfte überschritten ist. Die Strafe einer unter das VStrR fallenden Übertretung verjährt somit gemäss Art. 11 Abs. 4 VStrR in Verbindung mit Art. 75 und 102 StGB spätestens nach siebeneinhalb Jahren.</w:t>
      </w:r>
    </w:p>
    <w:p>
      <w:r>
        <w:rPr>
          <w:b/>
        </w:rPr>
        <w:t>E. 3</w:t>
      </w:r>
    </w:p>
    <w:p>
      <w:r>
        <w:t>Die in Frage stehende Steuerbusse ist mit der vorbehaltlosen Unterziehungserklärung des Beschwerdegegners vom 18. Oktober 1972 rechtlich vollstreckbar geworden, so dass mit diesem Tag die Vollstreckungsverjährung begann ( Art. 74 BGE 104 IV 266 S. 269 StGB ). Die ordentliche fünfjährige Verjährungsfrist des Art. 11 Abs. 4 VStrR ist seither durch mehrere auf Vollstreckung gerichtete Handlungen (Betreibung, Pfändungsbegehren, Gesuch vom 13. August 1976 um Umwandlung der Busse in Haft) unterbrochen worden und hat mit jeder Unterbrechung neu zu laufen begonnen ( Art. 75 Ziff. 2 Abs. 1 und 2 StGB ). Ist somit die ordentliche Verjährungsfrist noch nicht abgelaufen, geschweige denn die absolute Verjährung eingetreten, hat die Vorinstanz das Umwandlungsgesuch zu Unrecht wegen Verjährung abgewiesen.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